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for a perceptually accurate display of the distribution of the burden of cancer over the population. If it possible given the time and budget constraints, atlases should also present countries or regions containing hetergeneous spatial areas in an alternative display, in addition to the familiar choropleth map. With the ease of today’s technology, user interaction with the displays is also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the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Standardised Incidence Rate is analogous to the Standarised Mortality Rate.</w:t>
      </w:r>
    </w:p>
    <w:p>
      <w:pPr>
        <w:pStyle w:val="BodyText"/>
      </w:pPr>
      <w:r>
        <w:t xml:space="preserve">Obtaining reliable estimates becomes more difficult as data becomes more sparse, either by increasing geographic resolution or stratifying by age/sex. Many atlases analyzing smaller areas such as the Australian Cancer Atlas</w:t>
      </w:r>
      <w:r>
        <w:t xml:space="preserve"> </w:t>
      </w:r>
      <w:r>
        <w:t xml:space="preserve">[</w:t>
      </w:r>
      <w:hyperlink w:anchor="ref-ACA">
        <w:r>
          <w:rPr>
            <w:rStyle w:val="Hyperlink"/>
          </w:rPr>
          <w:t xml:space="preserve">5</w:t>
        </w:r>
      </w:hyperlink>
      <w:r>
        <w:t xml:space="preserve">]</w:t>
      </w:r>
      <w:r>
        <w:t xml:space="preserve">, use statistical modelling to produce estimates, although some continue to use simple calculations and suppress regions where estimates are unstable.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6</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6</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6</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7</w:t>
              </w:r>
            </w:hyperlink>
            <w:r>
              <w:t xml:space="preserve">]</w:t>
            </w:r>
          </w:p>
        </w:tc>
        <w:tc>
          <w:p>
            <w:pPr>
              <w:pStyle w:val="Compact"/>
              <w:jc w:val="left"/>
            </w:pPr>
            <w:r>
              <w:t xml:space="preserve">a, f</w:t>
            </w:r>
          </w:p>
        </w:tc>
      </w:tr>
    </w:tbl>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8</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9</w:t>
        </w:r>
      </w:hyperlink>
      <w:r>
        <w:t xml:space="preserve">]</w:t>
      </w:r>
      <w:r>
        <w:t xml:space="preserve">,</w:t>
      </w:r>
      <w:r>
        <w:t xml:space="preserve"> </w:t>
      </w:r>
      <w:r>
        <w:t xml:space="preserve">[</w:t>
      </w:r>
      <w:hyperlink w:anchor="ref-BCM">
        <w:r>
          <w:rPr>
            <w:rStyle w:val="Hyperlink"/>
          </w:rPr>
          <w:t xml:space="preserve">10</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8</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11</w:t>
        </w:r>
      </w:hyperlink>
      <w:r>
        <w:t xml:space="preserve">]</w:t>
      </w:r>
      <w:r>
        <w:t xml:space="preserve">, including cancer data</w:t>
      </w:r>
      <w:r>
        <w:t xml:space="preserve"> </w:t>
      </w:r>
      <w:r>
        <w:t xml:space="preserve">[</w:t>
      </w:r>
      <w:hyperlink w:anchor="ref-CPISACA">
        <w:r>
          <w:rPr>
            <w:rStyle w:val="Hyperlink"/>
          </w:rPr>
          <w:t xml:space="preserve">12</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13</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12</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11</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7"/>
        <w:gridCol w:w="1643"/>
        <w:gridCol w:w="1942"/>
        <w:gridCol w:w="1643"/>
        <w:gridCol w:w="2092"/>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7</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r>
              <w:t xml:space="preserve">Office for National Statistics</w:t>
            </w:r>
            <w:r>
              <w:t xml:space="preserve"> </w:t>
            </w:r>
            <w:r>
              <w:t xml:space="preserve">(ONS) (England) and from the</w:t>
            </w:r>
            <w:r>
              <w:t xml:space="preserve"> </w:t>
            </w:r>
            <w:r>
              <w:t xml:space="preserve">Welsh Cancer Intelligence and</w:t>
            </w:r>
            <w:r>
              <w:t xml:space="preserve"> </w:t>
            </w:r>
            <w:r>
              <w:t xml:space="preserve">Surveillance Unit (WCISU)</w:t>
            </w:r>
            <w:r>
              <w:t xml:space="preserve"> </w:t>
            </w:r>
            <w:hyperlink r:id="rId28">
              <w:r>
                <w:rPr>
                  <w:rStyle w:val="Hyperlink"/>
                </w:rPr>
                <w:t xml:space="preserve">1a</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6</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r>
              <w:t xml:space="preserve"> </w:t>
            </w:r>
            <w:hyperlink r:id="rId29">
              <w:r>
                <w:rPr>
                  <w:rStyle w:val="Hyperlink"/>
                </w:rPr>
                <w:t xml:space="preserve">1b</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14</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r>
              <w:t xml:space="preserve">Queensland Cancer Registry</w:t>
            </w:r>
            <w:r>
              <w:t xml:space="preserve"> </w:t>
            </w:r>
            <w:hyperlink r:id="rId30">
              <w:r>
                <w:rPr>
                  <w:rStyle w:val="Hyperlink"/>
                </w:rPr>
                <w:t xml:space="preserve">1c</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5</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r>
              <w:t xml:space="preserve">Australian Cancer Atlas</w:t>
            </w:r>
            <w:r>
              <w:t xml:space="preserve"> </w:t>
            </w:r>
            <w:hyperlink r:id="rId31">
              <w:r>
                <w:rPr>
                  <w:rStyle w:val="Hyperlink"/>
                </w:rPr>
                <w:t xml:space="preserve">1d</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r>
              <w:t xml:space="preserve">Centers for Disease Control and Prevention</w:t>
            </w:r>
            <w:r>
              <w:t xml:space="preserve"> </w:t>
            </w:r>
            <w:hyperlink r:id="rId32">
              <w:r>
                <w:rPr>
                  <w:rStyle w:val="Hyperlink"/>
                </w:rPr>
                <w:t xml:space="preserve">1e</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r>
              <w:t xml:space="preserve"> </w:t>
            </w:r>
            <w:hyperlink r:id="rId33">
              <w:r>
                <w:rPr>
                  <w:rStyle w:val="Hyperlink"/>
                </w:rPr>
                <w:t xml:space="preserve">1f</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r>
              <w:t xml:space="preserve">The Pediatric Oncology Group</w:t>
            </w:r>
            <w:r>
              <w:t xml:space="preserve"> </w:t>
            </w:r>
            <w:r>
              <w:t xml:space="preserve">of Ontario Networked Information</w:t>
            </w:r>
            <w:r>
              <w:t xml:space="preserve"> </w:t>
            </w:r>
            <w:r>
              <w:t xml:space="preserve">System</w:t>
            </w:r>
            <w:r>
              <w:t xml:space="preserve"> </w:t>
            </w:r>
            <w:hyperlink r:id="rId34">
              <w:r>
                <w:rPr>
                  <w:rStyle w:val="Hyperlink"/>
                </w:rPr>
                <w:t xml:space="preserve">1g</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1b</w:t>
      </w:r>
      <w:r>
        <w:t xml:space="preserve"> </w:t>
      </w:r>
      <w:r>
        <w:t xml:space="preserve">shows Globocan 2018</w:t>
      </w:r>
      <w:r>
        <w:t xml:space="preserve"> </w:t>
      </w:r>
      <w:r>
        <w:t xml:space="preserve">[</w:t>
      </w:r>
      <w:hyperlink w:anchor="ref-Globocan">
        <w:r>
          <w:rPr>
            <w:rStyle w:val="Hyperlink"/>
          </w:rPr>
          <w:t xml:space="preserve">6</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7</w:t>
        </w:r>
      </w:hyperlink>
      <w:r>
        <w:t xml:space="preserve">]</w:t>
      </w:r>
      <w:r>
        <w:t xml:space="preserve"> </w:t>
      </w:r>
      <w:r>
        <w:t xml:space="preserve">(Figure 1a</w:t>
      </w:r>
      <w:r>
        <w:t xml:space="preserve">) shows the relative risk for women developing lung cancer at a neighborhood (small-area) scale (n = 8850). The Australian Cancer Atlas (Figure 1d</w:t>
      </w:r>
      <w:r>
        <w:t xml:space="preserve">)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1c</w:t>
      </w:r>
      <w:r>
        <w:t xml:space="preserve">) shows a subset of the Australian Statistical Local Areas (SLAs) located in the state of Queensland within Australia</w:t>
      </w:r>
      <w:r>
        <w:t xml:space="preserve"> </w:t>
      </w:r>
      <w:r>
        <w:t xml:space="preserve">[</w:t>
      </w:r>
      <w:hyperlink w:anchor="ref-QLDcancerAtlas">
        <w:r>
          <w:rPr>
            <w:rStyle w:val="Hyperlink"/>
          </w:rPr>
          <w:t xml:space="preserve">14</w:t>
        </w:r>
      </w:hyperlink>
      <w:r>
        <w:t xml:space="preserve">]</w:t>
      </w:r>
      <w:r>
        <w:t xml:space="preserve"> </w:t>
      </w:r>
      <w:r>
        <w:t xml:space="preserve">(n = 478).</w:t>
      </w:r>
    </w:p>
    <w:p>
      <w:pPr>
        <w:pStyle w:val="BodyText"/>
      </w:pPr>
      <w:r>
        <w:t xml:space="preserve">Age-specific atlases are less common. Figure 1g</w:t>
      </w:r>
      <w:r>
        <w:t xml:space="preserve"> </w:t>
      </w:r>
      <w:r>
        <w:t xml:space="preserve">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9</w:t>
        </w:r>
      </w:hyperlink>
      <w:r>
        <w:t xml:space="preserve">]</w:t>
      </w:r>
      <w:r>
        <w:t xml:space="preserve">. Skowronnek also</w:t>
      </w:r>
      <w:r>
        <w:t xml:space="preserve"> </w:t>
      </w:r>
      <w:r>
        <w:t xml:space="preserve">[</w:t>
      </w:r>
      <w:hyperlink w:anchor="ref-BCM">
        <w:r>
          <w:rPr>
            <w:rStyle w:val="Hyperlink"/>
          </w:rPr>
          <w:t xml:space="preserve">10</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9</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a linear color gradient is appropriate for incidence counts and rates, but may not be appropriate for ratio measures.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10</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26</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30</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31</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11</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32</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Young’s</w:t>
      </w:r>
      <w:r>
        <w:t xml:space="preserve"> </w:t>
      </w:r>
      <w:r>
        <w:t xml:space="preserve">[</w:t>
      </w:r>
      <w:hyperlink w:anchor="ref-pam">
        <w:r>
          <w:rPr>
            <w:rStyle w:val="Hyperlink"/>
          </w:rPr>
          <w:t xml:space="preserve">34</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35</w:t>
        </w:r>
      </w:hyperlink>
      <w:r>
        <w:t xml:space="preserve">]</w:t>
      </w:r>
      <w:r>
        <w:t xml:space="preserve"> </w:t>
      </w:r>
      <w:r>
        <w:t xml:space="preserve">steel ball-bearing approach and Tobler’s</w:t>
      </w:r>
      <w:r>
        <w:t xml:space="preserve"> </w:t>
      </w:r>
      <w:r>
        <w:t xml:space="preserve">[</w:t>
      </w:r>
      <w:hyperlink w:anchor="ref-ctufd">
        <w:r>
          <w:rPr>
            <w:rStyle w:val="Hyperlink"/>
          </w:rPr>
          <w:t xml:space="preserve">36</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37</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(2a)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(2b)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the Dorling cartogram (2c)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(2d)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5</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30</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30</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27</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31</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39</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40</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41</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42</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43</w:t>
        </w:r>
      </w:hyperlink>
      <w:r>
        <w:t xml:space="preserve">]</w:t>
      </w:r>
      <w:r>
        <w:t xml:space="preserve">,</w:t>
      </w:r>
      <w:r>
        <w:t xml:space="preserve"> </w:t>
      </w:r>
      <w:r>
        <w:t xml:space="preserve">[</w:t>
      </w:r>
      <w:hyperlink w:anchor="ref-FiveThirtyEight">
        <w:r>
          <w:rPr>
            <w:rStyle w:val="Hyperlink"/>
          </w:rPr>
          <w:t xml:space="preserve">44</w:t>
        </w:r>
      </w:hyperlink>
      <w:r>
        <w:t xml:space="preserve">]</w:t>
      </w:r>
      <w:r>
        <w:t xml:space="preserve">,</w:t>
      </w:r>
      <w:r>
        <w:t xml:space="preserve"> </w:t>
      </w:r>
      <w:r>
        <w:t xml:space="preserve">[</w:t>
      </w:r>
      <w:hyperlink w:anchor="ref-WSJ">
        <w:r>
          <w:rPr>
            <w:rStyle w:val="Hyperlink"/>
          </w:rPr>
          <w:t xml:space="preserve">45</w:t>
        </w:r>
      </w:hyperlink>
      <w:r>
        <w:t xml:space="preserve">]</w:t>
      </w:r>
      <w:r>
        <w:t xml:space="preserve">,</w:t>
      </w:r>
      <w:r>
        <w:t xml:space="preserve"> </w:t>
      </w:r>
      <w:r>
        <w:t xml:space="preserve">[</w:t>
      </w:r>
      <w:hyperlink w:anchor="ref-WP">
        <w:r>
          <w:rPr>
            <w:rStyle w:val="Hyperlink"/>
          </w:rPr>
          <w:t xml:space="preserve">46</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47</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48</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49</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50</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30</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contains a cartogram showing the 1966 general election results for Australia, produced Hughes and Savage</w:t>
      </w:r>
      <w:r>
        <w:t xml:space="preserve"> </w:t>
      </w:r>
      <w:r>
        <w:t xml:space="preserve">[</w:t>
      </w:r>
      <w:r>
        <w:rPr>
          <w:b/>
        </w:rPr>
        <w:t xml:space="preserve">???</w:t>
      </w:r>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12</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12</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12</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51</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52</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5</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5</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53</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54</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55</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26</w:t>
        </w:r>
      </w:hyperlink>
      <w:r>
        <w:t xml:space="preserve">]</w:t>
      </w:r>
      <w:r>
        <w:t xml:space="preserve"> </w:t>
      </w:r>
      <w:r>
        <w:t xml:space="preserve">recommends using interactivityto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56</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57</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59</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60</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26</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61</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62</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61</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12</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63</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6</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relative rates which measure how far a region is above or below the average. The purpose of using an age standardised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64</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65</w:t>
        </w:r>
      </w:hyperlink>
      <w:r>
        <w:t xml:space="preserve">]</w:t>
      </w:r>
      <w:r>
        <w:t xml:space="preserve">, RColorBrewer</w:t>
      </w:r>
      <w:r>
        <w:t xml:space="preserve"> </w:t>
      </w:r>
      <w:r>
        <w:t xml:space="preserve">[</w:t>
      </w:r>
      <w:hyperlink w:anchor="ref-RColorBrewer">
        <w:r>
          <w:rPr>
            <w:rStyle w:val="Hyperlink"/>
          </w:rPr>
          <w:t xml:space="preserve">66</w:t>
        </w:r>
      </w:hyperlink>
      <w:r>
        <w:t xml:space="preserve">]</w:t>
      </w:r>
      <w:r>
        <w:t xml:space="preserve">, ggthemes</w:t>
      </w:r>
      <w:r>
        <w:t xml:space="preserve"> </w:t>
      </w:r>
      <w:r>
        <w:t xml:space="preserve">[</w:t>
      </w:r>
      <w:hyperlink w:anchor="ref-ggthemes">
        <w:r>
          <w:rPr>
            <w:rStyle w:val="Hyperlink"/>
          </w:rPr>
          <w:t xml:space="preserve">67</w:t>
        </w:r>
      </w:hyperlink>
      <w:r>
        <w:t xml:space="preserve">]</w:t>
      </w:r>
      <w:r>
        <w:t xml:space="preserve">, png</w:t>
      </w:r>
      <w:r>
        <w:t xml:space="preserve"> </w:t>
      </w:r>
      <w:r>
        <w:t xml:space="preserve">[</w:t>
      </w:r>
      <w:hyperlink w:anchor="ref-png">
        <w:r>
          <w:rPr>
            <w:rStyle w:val="Hyperlink"/>
          </w:rPr>
          <w:t xml:space="preserve">68</w:t>
        </w:r>
      </w:hyperlink>
      <w:r>
        <w:t xml:space="preserve">]</w:t>
      </w:r>
      <w:r>
        <w:t xml:space="preserve">, cowplot</w:t>
      </w:r>
      <w:r>
        <w:t xml:space="preserve"> </w:t>
      </w:r>
      <w:r>
        <w:t xml:space="preserve">[</w:t>
      </w:r>
      <w:hyperlink w:anchor="ref-cowplot">
        <w:r>
          <w:rPr>
            <w:rStyle w:val="Hyperlink"/>
          </w:rPr>
          <w:t xml:space="preserve">69</w:t>
        </w:r>
      </w:hyperlink>
      <w:r>
        <w:t xml:space="preserve">]</w:t>
      </w:r>
      <w:r>
        <w:t xml:space="preserve">, sf</w:t>
      </w:r>
      <w:r>
        <w:t xml:space="preserve"> </w:t>
      </w:r>
      <w:r>
        <w:t xml:space="preserve">[</w:t>
      </w:r>
      <w:hyperlink w:anchor="ref-sf">
        <w:r>
          <w:rPr>
            <w:rStyle w:val="Hyperlink"/>
          </w:rPr>
          <w:t xml:space="preserve">70</w:t>
        </w:r>
      </w:hyperlink>
      <w:r>
        <w:t xml:space="preserve">]</w:t>
      </w:r>
      <w:r>
        <w:t xml:space="preserve">, spData</w:t>
      </w:r>
      <w:r>
        <w:t xml:space="preserve"> </w:t>
      </w:r>
      <w:r>
        <w:t xml:space="preserve">[</w:t>
      </w:r>
      <w:hyperlink w:anchor="ref-spData">
        <w:r>
          <w:rPr>
            <w:rStyle w:val="Hyperlink"/>
          </w:rPr>
          <w:t xml:space="preserve">71</w:t>
        </w:r>
      </w:hyperlink>
      <w:r>
        <w:t xml:space="preserve">]</w:t>
      </w:r>
      <w:r>
        <w:t xml:space="preserve">, cartogram</w:t>
      </w:r>
      <w:r>
        <w:t xml:space="preserve"> </w:t>
      </w:r>
      <w:r>
        <w:t xml:space="preserve">[</w:t>
      </w:r>
      <w:hyperlink w:anchor="ref-cartogram">
        <w:r>
          <w:rPr>
            <w:rStyle w:val="Hyperlink"/>
          </w:rPr>
          <w:t xml:space="preserve">72</w:t>
        </w:r>
      </w:hyperlink>
      <w:r>
        <w:t xml:space="preserve">]</w:t>
      </w:r>
      <w:r>
        <w:t xml:space="preserve">, sugarbag</w:t>
      </w:r>
      <w:r>
        <w:t xml:space="preserve"> </w:t>
      </w:r>
      <w:r>
        <w:t xml:space="preserve">[</w:t>
      </w:r>
      <w:hyperlink w:anchor="ref-sugarbag">
        <w:r>
          <w:rPr>
            <w:rStyle w:val="Hyperlink"/>
          </w:rPr>
          <w:t xml:space="preserve">73</w:t>
        </w:r>
      </w:hyperlink>
      <w:r>
        <w:t xml:space="preserve">]</w:t>
      </w:r>
      <w:r>
        <w:t xml:space="preserve">, knitr</w:t>
      </w:r>
      <w:r>
        <w:t xml:space="preserve"> </w:t>
      </w:r>
      <w:r>
        <w:t xml:space="preserve">[</w:t>
      </w:r>
      <w:hyperlink w:anchor="ref-knitr">
        <w:r>
          <w:rPr>
            <w:rStyle w:val="Hyperlink"/>
          </w:rPr>
          <w:t xml:space="preserve">74</w:t>
        </w:r>
      </w:hyperlink>
      <w:r>
        <w:t xml:space="preserve">]</w:t>
      </w:r>
      <w:r>
        <w:t xml:space="preserve">, rmarkdown</w:t>
      </w:r>
      <w:r>
        <w:t xml:space="preserve"> </w:t>
      </w:r>
      <w:r>
        <w:t xml:space="preserve">[</w:t>
      </w:r>
      <w:hyperlink w:anchor="ref-rmarkdown">
        <w:r>
          <w:rPr>
            <w:rStyle w:val="Hyperlink"/>
          </w:rPr>
          <w:t xml:space="preserve">75</w:t>
        </w:r>
      </w:hyperlink>
      <w:r>
        <w:t xml:space="preserve">]</w:t>
      </w:r>
      <w:r>
        <w:t xml:space="preserve"> </w:t>
      </w:r>
      <w:r>
        <w:t xml:space="preserve">and absmapsdata</w:t>
      </w:r>
      <w:r>
        <w:t xml:space="preserve"> </w:t>
      </w:r>
      <w:r>
        <w:t xml:space="preserve">[</w:t>
      </w:r>
      <w:hyperlink w:anchor="ref-ABSmaps">
        <w:r>
          <w:rPr>
            <w:rStyle w:val="Hyperlink"/>
          </w:rPr>
          <w:t xml:space="preserve">76</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9"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ACA"/>
    <w:p>
      <w:pPr>
        <w:pStyle w:val="Bibliography"/>
      </w:pPr>
      <w:r>
        <w:t xml:space="preserve">5. Min Ouyang, Revesz P (2000) Algorithms for Cartogram Animation. In: Proceedings 2000 International Database Engineering and Applications Symposium (Cat. No.PR00789). pp 231–235</w:t>
      </w:r>
    </w:p>
    <w:bookmarkEnd w:id="62"/>
    <w:bookmarkStart w:id="63" w:name="ref-Globocan"/>
    <w:p>
      <w:pPr>
        <w:pStyle w:val="Bibliography"/>
      </w:pPr>
      <w:r>
        <w:t xml:space="preserve">6. Bray F, Ferlay J, Soerjomataram I, Siegel RL, Torre LA, Jemal A (2018) Global cancer statistics 2018: GLOBOCAN estimates of incidence and mortality worldwide for 36 cancers in 185 countries. CA: A Cancer Journal for Clinicians 68:394–424</w:t>
      </w:r>
    </w:p>
    <w:bookmarkEnd w:id="63"/>
    <w:bookmarkStart w:id="65" w:name="ref-EnvEnglandWales2"/>
    <w:p>
      <w:pPr>
        <w:pStyle w:val="Bibliography"/>
      </w:pPr>
      <w:r>
        <w:t xml:space="preserve">7. Emperial College London - Small Area Health Statistics Unit (2010) The environmental and health atlas of england and wales: National male lung cancer rate.</w:t>
      </w:r>
      <w:r>
        <w:t xml:space="preserve"> </w:t>
      </w:r>
      <w:hyperlink r:id="rId64">
        <w:r>
          <w:rPr>
            <w:rStyle w:val="Hyperlink"/>
          </w:rPr>
          <w:t xml:space="preserve">http://www.envhealthatlas.co.uk/eha/Breast/</w:t>
        </w:r>
      </w:hyperlink>
      <w:r>
        <w:t xml:space="preserve">. Accessed 26 Sep 2019</w:t>
      </w:r>
    </w:p>
    <w:bookmarkEnd w:id="65"/>
    <w:bookmarkStart w:id="66" w:name="ref-SAMGIS"/>
    <w:p>
      <w:pPr>
        <w:pStyle w:val="Bibliography"/>
      </w:pPr>
      <w:r>
        <w:t xml:space="preserve">8. Moore DA, Carpenter TE (1999) Spatial Analytical Methods and Geographic Information Systems: Use in Health Research and Epidemiology. Epidemiologic Reviews 21:143–161</w:t>
      </w:r>
    </w:p>
    <w:bookmarkEnd w:id="66"/>
    <w:bookmarkStart w:id="67" w:name="ref-EI"/>
    <w:p>
      <w:pPr>
        <w:pStyle w:val="Bibliography"/>
      </w:pPr>
      <w:r>
        <w:t xml:space="preserve">9. Tufte ER (1990) Envisioning Information. Graphics Press</w:t>
      </w:r>
    </w:p>
    <w:bookmarkEnd w:id="67"/>
    <w:bookmarkStart w:id="69" w:name="ref-BCM"/>
    <w:p>
      <w:pPr>
        <w:pStyle w:val="Bibliography"/>
      </w:pPr>
      <w:r>
        <w:t xml:space="preserve">10.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11.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12.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13. Brewster MB, Subramanian SV Cartographic Insights into the Burden of Mortality in the United Kingdom: A Review of “The Grim Reaper’s Road Map”. International Journal of Epidemiology 39:1120–1122</w:t>
      </w:r>
    </w:p>
    <w:bookmarkEnd w:id="73"/>
    <w:bookmarkStart w:id="74" w:name="ref-QLDcancerAtlas"/>
    <w:p>
      <w:pPr>
        <w:pStyle w:val="Bibliography"/>
      </w:pPr>
      <w:r>
        <w:t xml:space="preserve">14. Cramb SM and Mengersen KL and Baade PD (2011) Atlas of Cancer in Queensland: geographical variation in incidence and survival, 1998 to 2007.</w:t>
      </w:r>
      <w:r>
        <w:t xml:space="preserve"> </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5" w:name="ref-HTLWM"/>
    <w:p>
      <w:pPr>
        <w:pStyle w:val="Bibliography"/>
      </w:pPr>
      <w:r>
        <w:t xml:space="preserve">26. Monmonier M (2018) How to Lie with Maps (Third Edition).</w:t>
      </w:r>
      <w:r>
        <w:t xml:space="preserve"> </w:t>
      </w:r>
      <w:hyperlink r:id="rId94">
        <w:r>
          <w:rPr>
            <w:rStyle w:val="Hyperlink"/>
          </w:rPr>
          <w:t xml:space="preserve">https://doi.org/10.1191/0309132505ph540pr</w:t>
        </w:r>
      </w:hyperlink>
    </w:p>
    <w:bookmarkEnd w:id="95"/>
    <w:bookmarkStart w:id="96" w:name="ref-NAC"/>
    <w:p>
      <w:pPr>
        <w:pStyle w:val="Bibliography"/>
      </w:pPr>
      <w:r>
        <w:t xml:space="preserve">27. Olson JM (1976) Noncontiguous Area Cartograms. The Professional Geographer 28:371–380</w:t>
      </w:r>
    </w:p>
    <w:bookmarkEnd w:id="96"/>
    <w:bookmarkStart w:id="97" w:name="ref-TAAM"/>
    <w:p>
      <w:pPr>
        <w:pStyle w:val="Bibliography"/>
      </w:pPr>
      <w:r>
        <w:t xml:space="preserve">28. Levison ME, Haddon Jr W (1965) The Area Adjusted Map. An Epidemiologic Device. Public Health Reports 80:55–59</w:t>
      </w:r>
    </w:p>
    <w:bookmarkEnd w:id="97"/>
    <w:bookmarkStart w:id="98" w:name="ref-VSSDCUC"/>
    <w:p>
      <w:pPr>
        <w:pStyle w:val="Bibliography"/>
      </w:pPr>
      <w:r>
        <w:t xml:space="preserve">29. Kronenfeld BJ, Wong DWS (2017) Visualizing Statistical Significance of Disease Clusters Using Cartograms. International Journal of Health Geographics 16:19</w:t>
      </w:r>
    </w:p>
    <w:bookmarkEnd w:id="98"/>
    <w:bookmarkStart w:id="99" w:name="ref-CBATCC"/>
    <w:p>
      <w:pPr>
        <w:pStyle w:val="Bibliography"/>
      </w:pPr>
      <w:r>
        <w:t xml:space="preserve">30. Kocmoud C, House D (1998) A Constraint-based Approach to Constructing Continuous Cartograms. In: Proc. Symp. Spatial data handling. pp 236–246</w:t>
      </w:r>
    </w:p>
    <w:bookmarkEnd w:id="99"/>
    <w:bookmarkStart w:id="100" w:name="ref-NISCC"/>
    <w:p>
      <w:pPr>
        <w:pStyle w:val="Bibliography"/>
      </w:pPr>
      <w:r>
        <w:t xml:space="preserve">31. Dent BD (1972) A Note on the Importance of Shape in Cartogram Communication. Journal of Geography 71:393–401</w:t>
      </w:r>
    </w:p>
    <w:bookmarkEnd w:id="100"/>
    <w:bookmarkStart w:id="101" w:name="ref-CTTMB"/>
    <w:p>
      <w:pPr>
        <w:pStyle w:val="Bibliography"/>
      </w:pPr>
      <w:r>
        <w:t xml:space="preserve">32. Griffin TL (1980) Cartographic Transformation of the Thematic Map Base. Cartography 11:163–174</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pam"/>
    <w:p>
      <w:pPr>
        <w:pStyle w:val="Bibliography"/>
      </w:pPr>
      <w:r>
        <w:t xml:space="preserve">34. Hunter JM, Young JC (1968) A technique for the construction of quantitative cartograms by physical accretion models. The Professional Geographer 20:402–407</w:t>
      </w:r>
    </w:p>
    <w:bookmarkEnd w:id="103"/>
    <w:bookmarkStart w:id="104" w:name="ref-imoc"/>
    <w:p>
      <w:pPr>
        <w:pStyle w:val="Bibliography"/>
      </w:pPr>
      <w:r>
        <w:t xml:space="preserve">35. Skoda L, Robertson J (1972) Isodemographic map of canada. Information Canada</w:t>
      </w:r>
    </w:p>
    <w:bookmarkEnd w:id="104"/>
    <w:bookmarkStart w:id="105" w:name="ref-ctufd"/>
    <w:p>
      <w:pPr>
        <w:pStyle w:val="Bibliography"/>
      </w:pPr>
      <w:r>
        <w:t xml:space="preserve">36. Tobler WR (1973) A continuous transformation useful for districting. Annals of the New York Academy of Sciences 219:215–220</w:t>
      </w:r>
    </w:p>
    <w:bookmarkEnd w:id="105"/>
    <w:bookmarkStart w:id="106" w:name="ref-SAIC"/>
    <w:p>
      <w:pPr>
        <w:pStyle w:val="Bibliography"/>
      </w:pPr>
      <w:r>
        <w:t xml:space="preserve">37. Nusrat S, Kobourov SG (2016) The State of the Art in Cartograms. Computer Graphics Forum 35:619–642</w:t>
      </w:r>
    </w:p>
    <w:bookmarkEnd w:id="106"/>
    <w:bookmarkStart w:id="107" w:name="ref-ECGC"/>
    <w:p>
      <w:pPr>
        <w:pStyle w:val="Bibliography"/>
      </w:pPr>
      <w:r>
        <w:t xml:space="preserve">38. Keim DA, North SC, Panse C, Schneidewind J (2002) Efficient Cartogram Generation: A Comparison. In: IEEE Symposium on Information Visualization, 2002. INFOVIS 2002. IEEE, pp 33–36</w:t>
      </w:r>
    </w:p>
    <w:bookmarkEnd w:id="107"/>
    <w:bookmarkStart w:id="108" w:name="ref-RSCW"/>
    <w:p>
      <w:pPr>
        <w:pStyle w:val="Bibliography"/>
      </w:pPr>
      <w:r>
        <w:t xml:space="preserve">39. Raisz E (1963) Rectangular Statistical Cartograms of the World. Journal of Geography 35:8–10</w:t>
      </w:r>
    </w:p>
    <w:bookmarkEnd w:id="108"/>
    <w:bookmarkStart w:id="109" w:name="ref-TFYCC"/>
    <w:p>
      <w:pPr>
        <w:pStyle w:val="Bibliography"/>
      </w:pPr>
      <w:r>
        <w:t xml:space="preserve">40. Tobler W (2004) Thirty Five Years of Computer Cartograms. Annals of the Association of American Geographers 94:58–73</w:t>
      </w:r>
    </w:p>
    <w:bookmarkEnd w:id="109"/>
    <w:bookmarkStart w:id="110" w:name="ref-CDWCS"/>
    <w:p>
      <w:pPr>
        <w:pStyle w:val="Bibliography"/>
      </w:pPr>
      <w:r>
        <w:t xml:space="preserve">41. Monmonier M (2005) Cartography: Distortions, World-views and Creative Solutions. Progress in Human Geography 29:217–224</w:t>
      </w:r>
    </w:p>
    <w:bookmarkEnd w:id="110"/>
    <w:bookmarkStart w:id="111" w:name="ref-ORC"/>
    <w:p>
      <w:pPr>
        <w:pStyle w:val="Bibliography"/>
      </w:pPr>
      <w:r>
        <w:t xml:space="preserve">42. Kreveld M van, Speckmann B (2007) On rectangular cartograms. Computational Geometry 37:175–187</w:t>
      </w:r>
    </w:p>
    <w:bookmarkEnd w:id="111"/>
    <w:bookmarkStart w:id="112" w:name="ref-NPR"/>
    <w:p>
      <w:pPr>
        <w:pStyle w:val="Bibliography"/>
      </w:pPr>
      <w:r>
        <w:t xml:space="preserve">43. Montanaro D (2016) NPR Battleground Map: Hillary Clinton Is Winning — And It’s Not Close.</w:t>
      </w:r>
      <w:r>
        <w:t xml:space="preserve"> </w:t>
      </w:r>
    </w:p>
    <w:bookmarkEnd w:id="112"/>
    <w:bookmarkStart w:id="113" w:name="ref-FiveThirtyEight"/>
    <w:p>
      <w:pPr>
        <w:pStyle w:val="Bibliography"/>
      </w:pPr>
      <w:r>
        <w:t xml:space="preserve">44. Kanjana J, Mehta D (2016) Who will win the presidency?</w:t>
      </w:r>
      <w:r>
        <w:t xml:space="preserve"> </w:t>
      </w:r>
    </w:p>
    <w:bookmarkEnd w:id="113"/>
    <w:bookmarkStart w:id="114" w:name="ref-WSJ"/>
    <w:p>
      <w:pPr>
        <w:pStyle w:val="Bibliography"/>
      </w:pPr>
      <w:r>
        <w:t xml:space="preserve">45. Zitner A, Yeip R, Wolfe J (2016) Draw the 2016 Electoral College Map.</w:t>
      </w:r>
      <w:r>
        <w:t xml:space="preserve"> </w:t>
      </w:r>
    </w:p>
    <w:bookmarkEnd w:id="114"/>
    <w:bookmarkStart w:id="115" w:name="ref-WP"/>
    <w:p>
      <w:pPr>
        <w:pStyle w:val="Bibliography"/>
      </w:pPr>
      <w:r>
        <w:t xml:space="preserve">46. Gamio L, D. C (2016) Poll: Redrawing the electoral map.</w:t>
      </w:r>
      <w:r>
        <w:t xml:space="preserve"> </w:t>
      </w:r>
    </w:p>
    <w:bookmarkEnd w:id="115"/>
    <w:bookmarkStart w:id="116" w:name="ref-MDAC"/>
    <w:p>
      <w:pPr>
        <w:pStyle w:val="Bibliography"/>
      </w:pPr>
      <w:r>
        <w:t xml:space="preserve">47. Cano RG, Buchin K, Castermans T, Pieterse A, Sonke W, Speckmann B (2015) Mosaic Drawings and Cartograms. In: Computer graphics forum. Wiley Online Library, pp 361–370</w:t>
      </w:r>
    </w:p>
    <w:bookmarkEnd w:id="116"/>
    <w:bookmarkStart w:id="117" w:name="ref-IGF"/>
    <w:p>
      <w:pPr>
        <w:pStyle w:val="Bibliography"/>
      </w:pPr>
      <w:r>
        <w:t xml:space="preserve">48. Hafen R (2019) Geofacet: ’Ggplot2’ faceting utilities for geographical data.</w:t>
      </w:r>
      <w:r>
        <w:t xml:space="preserve"> </w:t>
      </w:r>
    </w:p>
    <w:bookmarkEnd w:id="117"/>
    <w:bookmarkStart w:id="118" w:name="ref-MMST"/>
    <w:p>
      <w:pPr>
        <w:pStyle w:val="Bibliography"/>
      </w:pPr>
      <w:r>
        <w:t xml:space="preserve">49. W. PL, Carr DB, Pearson JB (2015) micromapST: Exploring and Communicating Geospatial Patterns in US State Data. Journal of Statistical Software 63:1–25</w:t>
      </w:r>
    </w:p>
    <w:bookmarkEnd w:id="118"/>
    <w:bookmarkStart w:id="120" w:name="ref-VUADBC"/>
    <w:p>
      <w:pPr>
        <w:pStyle w:val="Bibliography"/>
      </w:pPr>
      <w:r>
        <w:t xml:space="preserve">50.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51.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52.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53.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54.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55. Perin C (2014) Direct Manipulation for Information Visualization. Theses, Université Paris Sud - Paris XI</w:t>
      </w:r>
    </w:p>
    <w:bookmarkEnd w:id="127"/>
    <w:bookmarkStart w:id="128" w:name="ref-goodchild1994introduction"/>
    <w:p>
      <w:pPr>
        <w:pStyle w:val="Bibliography"/>
      </w:pPr>
      <w:r>
        <w:t xml:space="preserve">56.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57. MacEachren AM (1992) Visualizing Uncertain Information. Cartographic Perspectives 10–19</w:t>
      </w:r>
    </w:p>
    <w:bookmarkEnd w:id="129"/>
    <w:bookmarkStart w:id="130" w:name="ref-van1994visualization"/>
    <w:p>
      <w:pPr>
        <w:pStyle w:val="Bibliography"/>
      </w:pPr>
      <w:r>
        <w:t xml:space="preserve">58. Van der Wel FJ, Hootsmans RM, Ormeling F (1994) Visualization of Data Quality. In: Modern cartography series. Elsevier, pp 313–331</w:t>
      </w:r>
    </w:p>
    <w:bookmarkEnd w:id="130"/>
    <w:bookmarkStart w:id="131" w:name="ref-DQBCM"/>
    <w:p>
      <w:pPr>
        <w:pStyle w:val="Bibliography"/>
      </w:pPr>
      <w:r>
        <w:t xml:space="preserve">59.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60.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61.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62. Pedersen TL, Robinson D (2019) gganimate: A Grammar of Animated Graphics.</w:t>
      </w:r>
      <w:r>
        <w:t xml:space="preserve"> </w:t>
      </w:r>
    </w:p>
    <w:bookmarkEnd w:id="135"/>
    <w:bookmarkStart w:id="137" w:name="ref-TACA"/>
    <w:p>
      <w:pPr>
        <w:pStyle w:val="Bibliography"/>
      </w:pPr>
      <w:r>
        <w:t xml:space="preserve">63.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64. R Core Team (2019) R: A Language and Environment for Statistical Computing. R Foundation for Statistical Computing, Vienna, Austria</w:t>
      </w:r>
    </w:p>
    <w:bookmarkEnd w:id="138"/>
    <w:bookmarkStart w:id="140" w:name="ref-tidyverse"/>
    <w:p>
      <w:pPr>
        <w:pStyle w:val="Bibliography"/>
      </w:pPr>
      <w:r>
        <w:t xml:space="preserve">65.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66.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67.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68.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69.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70. Pebesma E (2018) Simple Features for R: Standardized Support for Spatial Vector Data. The R Journal 10:439–446</w:t>
      </w:r>
    </w:p>
    <w:bookmarkEnd w:id="149"/>
    <w:bookmarkStart w:id="151" w:name="ref-spData"/>
    <w:p>
      <w:pPr>
        <w:pStyle w:val="Bibliography"/>
      </w:pPr>
      <w:r>
        <w:t xml:space="preserve">71.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72.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73.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74. Xie Y (2019) knitr: A General-Purpose Package for Dynamic Report Generation in R.</w:t>
      </w:r>
      <w:r>
        <w:t xml:space="preserve"> </w:t>
      </w:r>
    </w:p>
    <w:bookmarkEnd w:id="156"/>
    <w:bookmarkStart w:id="157" w:name="ref-rmarkdown"/>
    <w:p>
      <w:pPr>
        <w:pStyle w:val="Bibliography"/>
      </w:pPr>
      <w:r>
        <w:t xml:space="preserve">75.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76.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4"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4"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2020-05-22T07:45:16Z</dcterms:created>
  <dcterms:modified xsi:type="dcterms:W3CDTF">2020-05-22T07:45:16Z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